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11" w:type="dxa"/>
        <w:tblInd w:w="-562" w:type="dxa"/>
        <w:tblCellMar>
          <w:top w:w="46" w:type="dxa"/>
          <w:left w:w="0" w:type="dxa"/>
          <w:right w:w="43" w:type="dxa"/>
        </w:tblCellMar>
        <w:tblLook w:val="04A0" w:firstRow="1" w:lastRow="0" w:firstColumn="1" w:lastColumn="0" w:noHBand="0" w:noVBand="1"/>
      </w:tblPr>
      <w:tblGrid>
        <w:gridCol w:w="516"/>
        <w:gridCol w:w="44"/>
        <w:gridCol w:w="7454"/>
        <w:gridCol w:w="1667"/>
        <w:gridCol w:w="4921"/>
        <w:gridCol w:w="12"/>
      </w:tblGrid>
      <w:tr w:rsidR="00D50ECC" w:rsidRPr="008621BD" w:rsidTr="00B32A77">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KRYTERIA DLA OPERACJI FINANSOWANYCH </w:t>
            </w:r>
            <w:r>
              <w:rPr>
                <w:rFonts w:ascii="Times New Roman" w:eastAsia="Times New Roman" w:hAnsi="Times New Roman"/>
                <w:sz w:val="21"/>
                <w:lang w:eastAsia="pl-PL"/>
              </w:rPr>
              <w:t xml:space="preserve">W RAMACH REGIONALNEGO PROGRAMU OPERACYJNEGO WOJEWÓDZTWA PODLASKIEGO NA LATA 2014 – 2020 </w:t>
            </w:r>
            <w:r w:rsidRPr="008621BD">
              <w:rPr>
                <w:rFonts w:ascii="Times New Roman" w:eastAsia="Times New Roman" w:hAnsi="Times New Roman"/>
                <w:sz w:val="21"/>
                <w:lang w:eastAsia="pl-PL"/>
              </w:rPr>
              <w:t>Z EUROPEJSKIEGO FUNDUSZU ROZWOJU REGIONALNEGO</w:t>
            </w:r>
          </w:p>
        </w:tc>
      </w:tr>
      <w:tr w:rsidR="00D50ECC" w:rsidRPr="008621BD" w:rsidTr="00B32A77">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D50ECC" w:rsidRPr="008621BD" w:rsidRDefault="00D50ECC" w:rsidP="00B32A77">
            <w:pPr>
              <w:spacing w:after="0" w:line="240" w:lineRule="auto"/>
              <w:rPr>
                <w:rFonts w:ascii="Times New Roman" w:eastAsia="Times New Roman" w:hAnsi="Times New Roman"/>
                <w:bCs/>
                <w:sz w:val="20"/>
                <w:szCs w:val="20"/>
                <w:lang w:eastAsia="pl-PL"/>
              </w:rPr>
            </w:pPr>
            <w:r w:rsidRPr="008621BD">
              <w:rPr>
                <w:rFonts w:ascii="Times New Roman" w:eastAsia="Times New Roman" w:hAnsi="Times New Roman"/>
                <w:b/>
                <w:bCs/>
                <w:sz w:val="20"/>
                <w:szCs w:val="20"/>
                <w:lang w:eastAsia="pl-PL"/>
              </w:rPr>
              <w:t>TYPU 8. PROJEKTY Z ZAKRESU INFRASTRUKTURY SPOŁECZNEJ/ OBIEKTÓW, W KTÓRYCH REALIZOWANE SĄ USŁUGI AKTYWIZACJI SPOŁECZNO - ZAWODOWEJ</w:t>
            </w:r>
          </w:p>
          <w:p w:rsidR="00D50ECC" w:rsidRPr="008621BD" w:rsidRDefault="00D50ECC" w:rsidP="00B32A77">
            <w:pPr>
              <w:spacing w:after="120" w:line="240" w:lineRule="auto"/>
              <w:rPr>
                <w:rFonts w:ascii="Times New Roman" w:eastAsia="Times New Roman" w:hAnsi="Times New Roman"/>
                <w:b/>
                <w:sz w:val="20"/>
                <w:szCs w:val="20"/>
                <w:lang w:eastAsia="pl-PL"/>
              </w:rPr>
            </w:pPr>
            <w:r w:rsidRPr="008621BD">
              <w:rPr>
                <w:rFonts w:ascii="Times New Roman" w:eastAsia="Times New Roman" w:hAnsi="Times New Roman"/>
                <w:b/>
                <w:sz w:val="20"/>
                <w:szCs w:val="20"/>
                <w:lang w:eastAsia="pl-PL"/>
              </w:rPr>
              <w:t>Przedsięwzięcia: 3.1.1. Infrastruktura Społeczna</w:t>
            </w:r>
          </w:p>
          <w:p w:rsidR="00D50ECC" w:rsidRPr="008621BD" w:rsidRDefault="00D50ECC" w:rsidP="00B32A77">
            <w:pPr>
              <w:spacing w:after="0" w:line="240" w:lineRule="auto"/>
              <w:rPr>
                <w:rFonts w:ascii="Times New Roman" w:eastAsia="Times New Roman" w:hAnsi="Times New Roman"/>
                <w:b/>
                <w:bCs/>
                <w:sz w:val="20"/>
                <w:szCs w:val="20"/>
                <w:lang w:eastAsia="pl-PL"/>
              </w:rPr>
            </w:pPr>
            <w:r w:rsidRPr="008621BD">
              <w:rPr>
                <w:rFonts w:ascii="Times New Roman" w:eastAsia="Times New Roman" w:hAnsi="Times New Roman"/>
                <w:b/>
                <w:sz w:val="20"/>
                <w:szCs w:val="20"/>
                <w:lang w:eastAsia="pl-PL"/>
              </w:rPr>
              <w:t xml:space="preserve">TYP 9. </w:t>
            </w:r>
            <w:r w:rsidRPr="008621BD">
              <w:rPr>
                <w:rFonts w:ascii="Times New Roman" w:eastAsia="Times New Roman" w:hAnsi="Times New Roman"/>
                <w:b/>
                <w:bCs/>
                <w:sz w:val="20"/>
                <w:szCs w:val="20"/>
                <w:lang w:eastAsia="pl-PL"/>
              </w:rPr>
              <w:t xml:space="preserve">REWITALIZACJA MAŁEJ SKALI </w:t>
            </w:r>
          </w:p>
          <w:p w:rsidR="00D50ECC" w:rsidRPr="008621BD" w:rsidRDefault="00D50ECC" w:rsidP="00B32A77">
            <w:pPr>
              <w:spacing w:after="0" w:line="240" w:lineRule="auto"/>
              <w:rPr>
                <w:rFonts w:ascii="Times New Roman" w:eastAsia="Times New Roman" w:hAnsi="Times New Roman"/>
                <w:lang w:eastAsia="pl-PL"/>
              </w:rPr>
            </w:pPr>
            <w:r w:rsidRPr="008621BD">
              <w:rPr>
                <w:rFonts w:ascii="Times New Roman" w:eastAsia="Times New Roman" w:hAnsi="Times New Roman"/>
                <w:b/>
                <w:bCs/>
                <w:sz w:val="20"/>
                <w:szCs w:val="20"/>
                <w:lang w:eastAsia="pl-PL"/>
              </w:rPr>
              <w:t>Przedsięwzięcia: 3.1.2. Rewitalizacja</w:t>
            </w:r>
          </w:p>
        </w:tc>
      </w:tr>
      <w:tr w:rsidR="00D50ECC" w:rsidRPr="008621BD" w:rsidTr="00B32A77">
        <w:trPr>
          <w:gridAfter w:val="1"/>
          <w:wAfter w:w="10" w:type="dxa"/>
          <w:trHeight w:val="277"/>
          <w:tblHeader/>
        </w:trPr>
        <w:tc>
          <w:tcPr>
            <w:tcW w:w="639" w:type="dxa"/>
            <w:gridSpan w:val="2"/>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rPr>
                <w:rFonts w:ascii="Times New Roman" w:eastAsia="Times New Roman" w:hAnsi="Times New Roman"/>
                <w:lang w:eastAsia="pl-PL"/>
              </w:rPr>
            </w:pPr>
            <w:r w:rsidRPr="008621BD">
              <w:rPr>
                <w:rFonts w:ascii="Times New Roman" w:eastAsia="Times New Roman" w:hAnsi="Times New Roman"/>
                <w:sz w:val="21"/>
                <w:lang w:eastAsia="pl-PL"/>
              </w:rPr>
              <w:t xml:space="preserve">Lp. </w:t>
            </w:r>
          </w:p>
        </w:tc>
        <w:tc>
          <w:tcPr>
            <w:tcW w:w="7282"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Ocena</w:t>
            </w:r>
          </w:p>
        </w:tc>
      </w:tr>
      <w:tr w:rsidR="00D50ECC" w:rsidRPr="008621BD" w:rsidTr="00B32A77">
        <w:trPr>
          <w:gridAfter w:val="1"/>
          <w:wAfter w:w="10" w:type="dxa"/>
          <w:trHeight w:val="1082"/>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jc w:val="both"/>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A01D33"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0-5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nie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87"/>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Wpływ operacji na grupy defaw</w:t>
            </w:r>
            <w:r>
              <w:rPr>
                <w:rFonts w:ascii="Times New Roman" w:eastAsia="Times New Roman" w:hAnsi="Times New Roman"/>
                <w:sz w:val="20"/>
                <w:szCs w:val="20"/>
                <w:lang w:eastAsia="pl-PL"/>
              </w:rPr>
              <w:t>oryzowane zidentyfikowane w LSR</w:t>
            </w:r>
            <w:r w:rsidRPr="008621BD">
              <w:rPr>
                <w:rFonts w:ascii="Times New Roman" w:eastAsia="Times New Roman" w:hAnsi="Times New Roman"/>
                <w:sz w:val="20"/>
                <w:szCs w:val="20"/>
                <w:lang w:eastAsia="pl-PL"/>
              </w:rPr>
              <w:t>.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w:t>
            </w:r>
            <w:r>
              <w:rPr>
                <w:rFonts w:ascii="Times New Roman" w:eastAsia="Times New Roman" w:hAnsi="Times New Roman"/>
                <w:sz w:val="20"/>
                <w:szCs w:val="20"/>
                <w:lang w:eastAsia="pl-PL"/>
              </w:rPr>
              <w:t>nych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Oddziaływanie operacji na grupę defaworyzowaną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w:t>
            </w:r>
            <w:r>
              <w:rPr>
                <w:rFonts w:ascii="Times New Roman" w:eastAsia="Times New Roman" w:hAnsi="Times New Roman"/>
                <w:sz w:val="21"/>
                <w:lang w:eastAsia="pl-PL"/>
              </w:rPr>
              <w:t>8</w:t>
            </w: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jest realizowana przez wnioskodawcę będącym przedstawicielem grupy defaworyzowanej.</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jedną grupę defaworyzowaną.</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Operacja nie jest realizowana przez wnioskodawcę będącym przedstawicielem grupy defaworyzowanej </w:t>
            </w:r>
            <w:r>
              <w:rPr>
                <w:rFonts w:ascii="Times New Roman" w:eastAsia="Times New Roman" w:hAnsi="Times New Roman"/>
                <w:sz w:val="20"/>
                <w:szCs w:val="20"/>
                <w:lang w:eastAsia="pl-PL"/>
              </w:rPr>
              <w:t>i</w:t>
            </w:r>
            <w:r w:rsidRPr="008621BD">
              <w:rPr>
                <w:rFonts w:ascii="Times New Roman" w:eastAsia="Times New Roman" w:hAnsi="Times New Roman"/>
                <w:sz w:val="20"/>
                <w:szCs w:val="20"/>
                <w:lang w:eastAsia="pl-PL"/>
              </w:rPr>
              <w:t xml:space="preserve"> operacja nie oddziaływuje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D50ECC" w:rsidRDefault="00D50ECC" w:rsidP="00B32A77">
            <w:pPr>
              <w:spacing w:after="0" w:line="259" w:lineRule="auto"/>
              <w:ind w:left="70"/>
              <w:rPr>
                <w:rFonts w:ascii="Times New Roman" w:eastAsia="Times New Roman" w:hAnsi="Times New Roman"/>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0-2</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Default="00453974" w:rsidP="00B32A77">
            <w:pPr>
              <w:spacing w:after="0" w:line="259" w:lineRule="auto"/>
              <w:ind w:left="70"/>
              <w:rPr>
                <w:rFonts w:ascii="Times New Roman" w:eastAsia="Times New Roman" w:hAnsi="Times New Roman"/>
                <w:sz w:val="21"/>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281"/>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Innowacyjność operacji na poziomie obszaru L</w:t>
            </w:r>
            <w:r>
              <w:rPr>
                <w:rFonts w:ascii="Times New Roman" w:eastAsia="Times New Roman" w:hAnsi="Times New Roman"/>
                <w:sz w:val="20"/>
                <w:szCs w:val="20"/>
                <w:lang w:eastAsia="pl-PL"/>
              </w:rPr>
              <w:t>SR</w:t>
            </w:r>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Wpływ operacji na poprawę atrakcyjności turystycznej obszaru: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 realizację projektu.</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Wkład własny wnioskodawcy:</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Deklarowany wkład własny jest wyższy od minimalnego o ponad 5 </w:t>
            </w:r>
            <w:proofErr w:type="spellStart"/>
            <w:r w:rsidRPr="008621BD">
              <w:rPr>
                <w:rFonts w:ascii="Times New Roman" w:eastAsia="Times New Roman" w:hAnsi="Times New Roman"/>
                <w:sz w:val="20"/>
                <w:szCs w:val="20"/>
                <w:lang w:eastAsia="pl-PL"/>
              </w:rPr>
              <w:t>p.p</w:t>
            </w:r>
            <w:proofErr w:type="spellEnd"/>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Deklarowany wkład własny jest wyższy od minimalnego o max 5 </w:t>
            </w:r>
            <w:proofErr w:type="spellStart"/>
            <w:r w:rsidRPr="008621BD">
              <w:rPr>
                <w:rFonts w:ascii="Times New Roman" w:eastAsia="Times New Roman" w:hAnsi="Times New Roman"/>
                <w:sz w:val="20"/>
                <w:szCs w:val="20"/>
                <w:lang w:eastAsia="pl-PL"/>
              </w:rPr>
              <w:t>p.p</w:t>
            </w:r>
            <w:proofErr w:type="spellEnd"/>
            <w:r w:rsidRPr="008621BD">
              <w:rPr>
                <w:rFonts w:ascii="Times New Roman" w:eastAsia="Times New Roman" w:hAnsi="Times New Roman"/>
                <w:sz w:val="20"/>
                <w:szCs w:val="20"/>
                <w:lang w:eastAsia="pl-PL"/>
              </w:rPr>
              <w:t>.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deklaruje wkład własny na minimalnym wymaganym.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sz w:val="21"/>
                <w:szCs w:val="21"/>
                <w:lang w:eastAsia="pl-PL"/>
              </w:rPr>
            </w:pPr>
            <w:r w:rsidRPr="008621BD">
              <w:rPr>
                <w:rFonts w:ascii="Times New Roman" w:eastAsia="Times New Roman" w:hAnsi="Times New Roman"/>
                <w:b/>
                <w:sz w:val="21"/>
                <w:szCs w:val="21"/>
                <w:lang w:eastAsia="pl-PL"/>
              </w:rPr>
              <w:t>Realizacja operacji przez partnerów społecznych lub organizacje pozarządowe:</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nie jest realizowana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Default="00D50ECC" w:rsidP="00B32A77">
            <w:pPr>
              <w:spacing w:after="0" w:line="259" w:lineRule="auto"/>
              <w:ind w:left="70"/>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Uzasadnienie:</w:t>
            </w:r>
          </w:p>
          <w:p w:rsidR="00453974" w:rsidRDefault="00453974" w:rsidP="00B32A77">
            <w:pPr>
              <w:spacing w:after="0" w:line="259" w:lineRule="auto"/>
              <w:ind w:left="70"/>
              <w:rPr>
                <w:rFonts w:ascii="Times New Roman" w:eastAsia="Times New Roman" w:hAnsi="Times New Roman"/>
                <w:sz w:val="21"/>
                <w:szCs w:val="21"/>
                <w:lang w:eastAsia="pl-PL"/>
              </w:rPr>
            </w:pPr>
          </w:p>
          <w:p w:rsidR="00453974" w:rsidRPr="008621BD" w:rsidRDefault="00453974" w:rsidP="00B32A77">
            <w:pPr>
              <w:spacing w:after="0" w:line="259" w:lineRule="auto"/>
              <w:ind w:left="70"/>
              <w:rPr>
                <w:rFonts w:ascii="Times New Roman" w:eastAsia="Times New Roman" w:hAnsi="Times New Roman"/>
                <w:sz w:val="21"/>
                <w:szCs w:val="21"/>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które wykazują komplementarność co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w:t>
            </w:r>
            <w:r w:rsidRPr="008621BD">
              <w:rPr>
                <w:rFonts w:ascii="Times New Roman" w:eastAsia="Times New Roman" w:hAnsi="Times New Roman"/>
                <w:sz w:val="20"/>
                <w:szCs w:val="20"/>
                <w:lang w:eastAsia="pl-PL"/>
              </w:rPr>
              <w:lastRenderedPageBreak/>
              <w:t>PROW 2014-2020,  RPO 2014-2020, programy współpracy transgranicznej) lub innych (np. FIO, Programy MKiDN),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Komplementarność projektu z innymi projektami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wykazał komplementarność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nie wykazał komplementarności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Stan gotowości technicznej projektu do realizacji: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Uzyskano pozwolenie na budowę lub dokonano zgłoszenia robót budowlanych, w stosunku co do których organ nie wniósł sprzeciwu. Przedłożono dokument potwierdzający brak konieczności uzyskania pozwolenia lub dokonania 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Brak wniosku o wydanie pozwolenia na budowę/zgłoszenia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Pr="008621BD" w:rsidRDefault="00453974" w:rsidP="00B32A77">
            <w:pPr>
              <w:spacing w:after="0" w:line="259" w:lineRule="auto"/>
              <w:ind w:left="70"/>
              <w:rPr>
                <w:rFonts w:ascii="Times New Roman" w:eastAsia="Times New Roman" w:hAnsi="Times New Roman"/>
                <w:lang w:eastAsia="pl-PL"/>
              </w:rPr>
            </w:pPr>
            <w:bookmarkStart w:id="0" w:name="_GoBack"/>
            <w:bookmarkEnd w:id="0"/>
          </w:p>
        </w:tc>
      </w:tr>
      <w:tr w:rsidR="00D50ECC" w:rsidRPr="00021340" w:rsidTr="00B32A77">
        <w:trPr>
          <w:trHeight w:val="383"/>
        </w:trPr>
        <w:tc>
          <w:tcPr>
            <w:tcW w:w="14611" w:type="dxa"/>
            <w:gridSpan w:val="6"/>
            <w:tcBorders>
              <w:top w:val="nil"/>
              <w:left w:val="single" w:sz="4" w:space="0" w:color="000000"/>
              <w:bottom w:val="nil"/>
              <w:right w:val="single" w:sz="4" w:space="0" w:color="000000"/>
            </w:tcBorders>
            <w:shd w:val="clear" w:color="auto" w:fill="92D050"/>
          </w:tcPr>
          <w:p w:rsidR="00D50ECC" w:rsidRPr="00021340" w:rsidRDefault="00D50ECC" w:rsidP="00B32A77">
            <w:pPr>
              <w:spacing w:after="0" w:line="259" w:lineRule="auto"/>
              <w:ind w:left="70"/>
              <w:rPr>
                <w:rFonts w:ascii="Times New Roman" w:eastAsia="Times New Roman" w:hAnsi="Times New Roman"/>
                <w:b/>
                <w:sz w:val="21"/>
                <w:lang w:eastAsia="pl-PL"/>
              </w:rPr>
            </w:pPr>
            <w:r w:rsidRPr="00021340">
              <w:rPr>
                <w:rFonts w:ascii="Times New Roman" w:eastAsia="Times New Roman" w:hAnsi="Times New Roman"/>
                <w:b/>
                <w:sz w:val="21"/>
                <w:lang w:eastAsia="pl-PL"/>
              </w:rPr>
              <w:lastRenderedPageBreak/>
              <w:t>WYNIK OCENY OPERACJI WG LOKALNYCH KRYTERIÓW WYBORU</w:t>
            </w:r>
          </w:p>
        </w:tc>
      </w:tr>
      <w:tr w:rsidR="00D50ECC" w:rsidRPr="00021340" w:rsidTr="00B32A77">
        <w:trPr>
          <w:trHeight w:val="662"/>
        </w:trPr>
        <w:tc>
          <w:tcPr>
            <w:tcW w:w="590" w:type="dxa"/>
            <w:tcBorders>
              <w:top w:val="nil"/>
              <w:left w:val="single" w:sz="4" w:space="0" w:color="000000"/>
              <w:bottom w:val="single" w:sz="4" w:space="0" w:color="auto"/>
              <w:right w:val="single" w:sz="4" w:space="0" w:color="000000"/>
            </w:tcBorders>
            <w:shd w:val="clear" w:color="auto" w:fill="92D050"/>
          </w:tcPr>
          <w:p w:rsidR="00D50ECC" w:rsidRPr="00021340" w:rsidRDefault="00D50ECC" w:rsidP="00B32A77">
            <w:pPr>
              <w:spacing w:after="0" w:line="259" w:lineRule="auto"/>
              <w:ind w:left="-851"/>
              <w:rPr>
                <w:rFonts w:ascii="Times New Roman" w:eastAsia="Times New Roman" w:hAnsi="Times New Roman"/>
                <w:lang w:eastAsia="pl-PL"/>
              </w:rPr>
            </w:pPr>
          </w:p>
        </w:tc>
        <w:tc>
          <w:tcPr>
            <w:tcW w:w="14021"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50ECC" w:rsidRPr="00021340" w:rsidRDefault="0011730F" w:rsidP="00B32A77">
            <w:pPr>
              <w:spacing w:after="0" w:line="259" w:lineRule="auto"/>
              <w:ind w:left="70"/>
              <w:jc w:val="center"/>
              <w:rPr>
                <w:rFonts w:ascii="Times New Roman" w:eastAsia="Times New Roman" w:hAnsi="Times New Roman"/>
                <w:sz w:val="21"/>
                <w:lang w:eastAsia="pl-PL"/>
              </w:rPr>
            </w:pPr>
            <w:r>
              <w:rPr>
                <w:rFonts w:ascii="Times New Roman" w:eastAsia="Times New Roman" w:hAnsi="Times New Roman"/>
                <w:noProof/>
                <w:sz w:val="21"/>
                <w:lang w:eastAsia="pl-PL"/>
              </w:rPr>
              <w:pict>
                <v:rect id="_x0000_s1026" style="position:absolute;left:0;text-align:left;margin-left:386.7pt;margin-top:1.65pt;width:30pt;height:21pt;z-index:251658240;mso-position-horizontal-relative:text;mso-position-vertical-relative:text"/>
              </w:pict>
            </w:r>
            <w:r w:rsidR="00D50ECC" w:rsidRPr="00021340">
              <w:rPr>
                <w:rFonts w:ascii="Times New Roman" w:eastAsia="Times New Roman" w:hAnsi="Times New Roman"/>
                <w:b/>
                <w:sz w:val="21"/>
                <w:lang w:eastAsia="pl-PL"/>
              </w:rPr>
              <w:t>Operacja uzyskała łącznie                   pkt</w:t>
            </w:r>
            <w:r w:rsidR="00D50ECC">
              <w:rPr>
                <w:rFonts w:ascii="Times New Roman" w:eastAsia="Times New Roman" w:hAnsi="Times New Roman"/>
                <w:sz w:val="21"/>
                <w:lang w:eastAsia="pl-PL"/>
              </w:rPr>
              <w:t>.</w:t>
            </w:r>
          </w:p>
        </w:tc>
      </w:tr>
      <w:tr w:rsidR="00D50ECC" w:rsidTr="00B32A77">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D50ECC" w:rsidRPr="003551F8" w:rsidTr="00B32A7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50ECC" w:rsidRPr="00021340" w:rsidRDefault="00D50ECC" w:rsidP="00B32A77">
                  <w:pPr>
                    <w:spacing w:after="0" w:line="259" w:lineRule="auto"/>
                    <w:ind w:left="-851" w:right="53"/>
                    <w:jc w:val="center"/>
                    <w:rPr>
                      <w:rFonts w:ascii="Times New Roman" w:hAnsi="Times New Roman"/>
                      <w:b/>
                    </w:rPr>
                  </w:pPr>
                  <w:r w:rsidRPr="00021340">
                    <w:rPr>
                      <w:rFonts w:ascii="Times New Roman" w:hAnsi="Times New Roman"/>
                      <w:b/>
                      <w:sz w:val="21"/>
                    </w:rPr>
                    <w:t>Oceniający (Członek Rady)</w:t>
                  </w:r>
                </w:p>
              </w:tc>
            </w:tr>
            <w:tr w:rsidR="00D50ECC" w:rsidRPr="003551F8" w:rsidTr="00B32A7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r w:rsidR="00D50ECC" w:rsidRPr="003551F8" w:rsidTr="00B32A7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bl>
          <w:p w:rsidR="00D50ECC" w:rsidRDefault="00D50ECC" w:rsidP="00B32A77">
            <w:pPr>
              <w:spacing w:after="0"/>
            </w:pPr>
          </w:p>
        </w:tc>
      </w:tr>
    </w:tbl>
    <w:p w:rsidR="002923C9" w:rsidRDefault="002923C9"/>
    <w:sectPr w:rsidR="002923C9" w:rsidSect="00D50EC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0F" w:rsidRDefault="0011730F" w:rsidP="00D50ECC">
      <w:pPr>
        <w:spacing w:after="0" w:line="240" w:lineRule="auto"/>
      </w:pPr>
      <w:r>
        <w:separator/>
      </w:r>
    </w:p>
  </w:endnote>
  <w:endnote w:type="continuationSeparator" w:id="0">
    <w:p w:rsidR="0011730F" w:rsidRDefault="0011730F" w:rsidP="00D5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0F" w:rsidRDefault="0011730F" w:rsidP="00D50ECC">
      <w:pPr>
        <w:spacing w:after="0" w:line="240" w:lineRule="auto"/>
      </w:pPr>
      <w:r>
        <w:separator/>
      </w:r>
    </w:p>
  </w:footnote>
  <w:footnote w:type="continuationSeparator" w:id="0">
    <w:p w:rsidR="0011730F" w:rsidRDefault="0011730F" w:rsidP="00D5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CC" w:rsidRDefault="0011730F">
    <w:pPr>
      <w:pStyle w:val="Nagwek"/>
    </w:pPr>
    <w:r>
      <w:rPr>
        <w:noProof/>
        <w:lang w:eastAsia="pl-PL"/>
      </w:rPr>
      <w:pict>
        <v:rect id="_x0000_s2051" style="position:absolute;margin-left:575.65pt;margin-top:-6.15pt;width:122.25pt;height:26.25pt;z-index:251658240"/>
      </w:pict>
    </w:r>
    <w:r w:rsidR="00D50EC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0DDC"/>
    <w:multiLevelType w:val="hybridMultilevel"/>
    <w:tmpl w:val="4AAE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0ECC"/>
    <w:rsid w:val="0011730F"/>
    <w:rsid w:val="001B097F"/>
    <w:rsid w:val="002923C9"/>
    <w:rsid w:val="00453974"/>
    <w:rsid w:val="00D50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5283468-394F-428C-B2DF-12B68E6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EC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50E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0ECC"/>
    <w:rPr>
      <w:rFonts w:ascii="Calibri" w:eastAsia="Calibri" w:hAnsi="Calibri" w:cs="Times New Roman"/>
    </w:rPr>
  </w:style>
  <w:style w:type="paragraph" w:styleId="Stopka">
    <w:name w:val="footer"/>
    <w:basedOn w:val="Normalny"/>
    <w:link w:val="StopkaZnak"/>
    <w:uiPriority w:val="99"/>
    <w:semiHidden/>
    <w:unhideWhenUsed/>
    <w:rsid w:val="00D50E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50E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4EDF0-2B22-4779-965E-C0C233C2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1390</Words>
  <Characters>8340</Characters>
  <Application>Microsoft Office Word</Application>
  <DocSecurity>0</DocSecurity>
  <Lines>69</Lines>
  <Paragraphs>19</Paragraphs>
  <ScaleCrop>false</ScaleCrop>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3</cp:revision>
  <dcterms:created xsi:type="dcterms:W3CDTF">2018-08-01T11:34:00Z</dcterms:created>
  <dcterms:modified xsi:type="dcterms:W3CDTF">2020-03-27T13:02:00Z</dcterms:modified>
</cp:coreProperties>
</file>